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D6" w:rsidRDefault="00072209" w:rsidP="00737992">
      <w:pPr>
        <w:jc w:val="center"/>
        <w:rPr>
          <w:b/>
          <w:color w:val="008000"/>
          <w:sz w:val="24"/>
        </w:rPr>
      </w:pPr>
      <w:r>
        <w:rPr>
          <w:b/>
          <w:color w:val="008000"/>
          <w:sz w:val="24"/>
        </w:rPr>
        <w:t>SÉMINAIRE THÉMATIQUE LIED</w:t>
      </w:r>
    </w:p>
    <w:p w:rsidR="007C7621" w:rsidRPr="000247CA" w:rsidRDefault="007C7621" w:rsidP="00737992">
      <w:pPr>
        <w:jc w:val="center"/>
        <w:rPr>
          <w:b/>
          <w:color w:val="008000"/>
          <w:sz w:val="28"/>
          <w:szCs w:val="28"/>
        </w:rPr>
      </w:pPr>
      <w:r w:rsidRPr="000247CA">
        <w:rPr>
          <w:b/>
          <w:color w:val="008000"/>
          <w:sz w:val="28"/>
          <w:szCs w:val="28"/>
        </w:rPr>
        <w:t>Laboratoire Interdisciplinaire des Energies de Demain</w:t>
      </w:r>
    </w:p>
    <w:p w:rsidR="004C37D6" w:rsidRDefault="004C37D6" w:rsidP="00737992">
      <w:pPr>
        <w:pStyle w:val="Commentaire"/>
        <w:jc w:val="center"/>
        <w:rPr>
          <w:color w:val="008000"/>
          <w:sz w:val="26"/>
        </w:rPr>
      </w:pPr>
    </w:p>
    <w:p w:rsidR="004C37D6" w:rsidRDefault="00072209" w:rsidP="00737992">
      <w:pPr>
        <w:pStyle w:val="Commentaire"/>
        <w:jc w:val="center"/>
      </w:pPr>
      <w:r>
        <w:rPr>
          <w:color w:val="008000"/>
          <w:sz w:val="26"/>
        </w:rPr>
        <w:t>Thème « Matériaux</w:t>
      </w:r>
      <w:r>
        <w:rPr>
          <w:color w:val="008000"/>
          <w:sz w:val="26"/>
        </w:rPr>
        <w:t xml:space="preserve"> pour l’énergie</w:t>
      </w:r>
      <w:r>
        <w:rPr>
          <w:color w:val="008000"/>
          <w:sz w:val="26"/>
        </w:rPr>
        <w:t xml:space="preserve"> et géopolitique</w:t>
      </w:r>
      <w:r>
        <w:rPr>
          <w:color w:val="008000"/>
          <w:sz w:val="26"/>
        </w:rPr>
        <w:t xml:space="preserve"> »</w:t>
      </w:r>
    </w:p>
    <w:p w:rsidR="004C37D6" w:rsidRDefault="004C37D6" w:rsidP="00737992">
      <w:pPr>
        <w:pStyle w:val="Commentaire"/>
        <w:jc w:val="center"/>
        <w:rPr>
          <w:color w:val="008000"/>
          <w:sz w:val="26"/>
        </w:rPr>
      </w:pPr>
    </w:p>
    <w:p w:rsidR="004C37D6" w:rsidRDefault="00072209" w:rsidP="00737992">
      <w:r>
        <w:rPr>
          <w:b/>
          <w:color w:val="008000"/>
          <w:sz w:val="22"/>
          <w:szCs w:val="22"/>
          <w:u w:val="single"/>
        </w:rPr>
        <w:t>Mardi 11 février 2020</w:t>
      </w:r>
      <w:r>
        <w:rPr>
          <w:b/>
          <w:color w:val="008000"/>
          <w:sz w:val="22"/>
          <w:szCs w:val="22"/>
        </w:rPr>
        <w:t xml:space="preserve"> de 14 h</w:t>
      </w:r>
      <w:r>
        <w:rPr>
          <w:b/>
          <w:color w:val="008000"/>
          <w:sz w:val="22"/>
          <w:szCs w:val="22"/>
        </w:rPr>
        <w:t xml:space="preserve"> à 17</w:t>
      </w:r>
      <w:r>
        <w:rPr>
          <w:b/>
          <w:color w:val="008000"/>
          <w:sz w:val="22"/>
          <w:szCs w:val="22"/>
        </w:rPr>
        <w:t xml:space="preserve"> </w:t>
      </w:r>
      <w:r>
        <w:rPr>
          <w:b/>
          <w:color w:val="008000"/>
          <w:sz w:val="22"/>
          <w:szCs w:val="22"/>
        </w:rPr>
        <w:t>h</w:t>
      </w:r>
      <w:r>
        <w:rPr>
          <w:b/>
          <w:color w:val="008000"/>
          <w:sz w:val="22"/>
          <w:szCs w:val="22"/>
        </w:rPr>
        <w:t xml:space="preserve"> </w:t>
      </w:r>
      <w:r>
        <w:rPr>
          <w:b/>
          <w:color w:val="008000"/>
          <w:sz w:val="22"/>
          <w:szCs w:val="22"/>
        </w:rPr>
        <w:t>30</w:t>
      </w:r>
      <w:r>
        <w:rPr>
          <w:b/>
          <w:color w:val="008000"/>
          <w:sz w:val="22"/>
          <w:szCs w:val="22"/>
        </w:rPr>
        <w:t>,</w:t>
      </w:r>
    </w:p>
    <w:p w:rsidR="004C37D6" w:rsidRDefault="008371C1" w:rsidP="00737992">
      <w:pPr>
        <w:rPr>
          <w:b/>
          <w:color w:val="008000"/>
          <w:sz w:val="22"/>
          <w:szCs w:val="22"/>
        </w:rPr>
      </w:pPr>
      <w:r>
        <w:rPr>
          <w:b/>
          <w:color w:val="008000"/>
          <w:sz w:val="22"/>
          <w:szCs w:val="22"/>
        </w:rPr>
        <w:t>S</w:t>
      </w:r>
      <w:r w:rsidR="00072209">
        <w:rPr>
          <w:b/>
          <w:color w:val="008000"/>
          <w:sz w:val="22"/>
          <w:szCs w:val="22"/>
        </w:rPr>
        <w:t>alle 454A du bâtiment Condorcet de Paris-Diderot, 4 rue Elsa Morante, 75013 Paris.</w:t>
      </w:r>
    </w:p>
    <w:p w:rsidR="004C37D6" w:rsidRDefault="004C37D6" w:rsidP="00737992">
      <w:pPr>
        <w:ind w:left="1416" w:firstLine="708"/>
        <w:jc w:val="center"/>
        <w:rPr>
          <w:b/>
          <w:i/>
          <w:color w:val="008000"/>
          <w:sz w:val="22"/>
          <w:szCs w:val="22"/>
        </w:rPr>
      </w:pPr>
    </w:p>
    <w:p w:rsidR="004C37D6" w:rsidRDefault="00072209" w:rsidP="00737992">
      <w:pPr>
        <w:ind w:left="2124" w:firstLine="708"/>
        <w:rPr>
          <w:b/>
          <w:color w:val="008000"/>
          <w:sz w:val="22"/>
          <w:szCs w:val="22"/>
        </w:rPr>
      </w:pPr>
      <w:bookmarkStart w:id="0" w:name="_GoBack"/>
      <w:bookmarkEnd w:id="0"/>
      <w:r>
        <w:rPr>
          <w:b/>
          <w:i/>
          <w:color w:val="008000"/>
          <w:sz w:val="22"/>
          <w:szCs w:val="22"/>
        </w:rPr>
        <w:t>Un café d'</w:t>
      </w:r>
      <w:r>
        <w:rPr>
          <w:b/>
          <w:i/>
          <w:color w:val="008000"/>
          <w:sz w:val="22"/>
          <w:szCs w:val="22"/>
        </w:rPr>
        <w:t>accueil sera servi à partir de 13</w:t>
      </w:r>
      <w:r>
        <w:rPr>
          <w:b/>
          <w:i/>
          <w:color w:val="008000"/>
          <w:sz w:val="22"/>
          <w:szCs w:val="22"/>
        </w:rPr>
        <w:t xml:space="preserve"> </w:t>
      </w:r>
      <w:r>
        <w:rPr>
          <w:b/>
          <w:i/>
          <w:color w:val="008000"/>
          <w:sz w:val="22"/>
          <w:szCs w:val="22"/>
        </w:rPr>
        <w:t>h</w:t>
      </w:r>
      <w:r>
        <w:rPr>
          <w:b/>
          <w:i/>
          <w:color w:val="008000"/>
          <w:sz w:val="22"/>
          <w:szCs w:val="22"/>
        </w:rPr>
        <w:t xml:space="preserve"> </w:t>
      </w:r>
      <w:r>
        <w:rPr>
          <w:b/>
          <w:i/>
          <w:color w:val="008000"/>
          <w:sz w:val="22"/>
          <w:szCs w:val="22"/>
        </w:rPr>
        <w:t>30</w:t>
      </w:r>
    </w:p>
    <w:p w:rsidR="004C37D6" w:rsidRDefault="004C37D6" w:rsidP="00737992">
      <w:pPr>
        <w:jc w:val="both"/>
        <w:rPr>
          <w:sz w:val="22"/>
          <w:szCs w:val="22"/>
        </w:rPr>
      </w:pPr>
    </w:p>
    <w:p w:rsidR="004C37D6" w:rsidRDefault="00072209" w:rsidP="00737992">
      <w:pPr>
        <w:jc w:val="both"/>
        <w:rPr>
          <w:b/>
          <w:i/>
          <w:sz w:val="24"/>
        </w:rPr>
      </w:pPr>
      <w:r>
        <w:rPr>
          <w:b/>
          <w:i/>
          <w:sz w:val="24"/>
        </w:rPr>
        <w:t xml:space="preserve">Avec la transition énergétique, la géopolitique de l’énergie change dans sa géographie mais pas dans son principe. La question centrale, à savoir qui possède les ressources, ne fait que se déplacer des stocks </w:t>
      </w:r>
      <w:r>
        <w:rPr>
          <w:b/>
          <w:i/>
          <w:sz w:val="24"/>
        </w:rPr>
        <w:t>fossiles aux matériaux miniers nécessaires à la mise en œuvre des moyens de captation et de stockage d’énergie</w:t>
      </w:r>
      <w:r>
        <w:rPr>
          <w:b/>
          <w:i/>
          <w:sz w:val="24"/>
        </w:rPr>
        <w:t>s</w:t>
      </w:r>
      <w:r>
        <w:rPr>
          <w:b/>
          <w:i/>
          <w:sz w:val="24"/>
        </w:rPr>
        <w:t xml:space="preserve"> renouvelable</w:t>
      </w:r>
      <w:r>
        <w:rPr>
          <w:b/>
          <w:i/>
          <w:sz w:val="24"/>
        </w:rPr>
        <w:t>s</w:t>
      </w:r>
      <w:r>
        <w:rPr>
          <w:b/>
          <w:i/>
          <w:sz w:val="24"/>
        </w:rPr>
        <w:t>. Ce séminaire portera sur l’organisation de la course aux minerais et l’émergence des territoires-acteurs de la géopolitique miniè</w:t>
      </w:r>
      <w:r>
        <w:rPr>
          <w:b/>
          <w:i/>
          <w:sz w:val="24"/>
        </w:rPr>
        <w:t>re.</w:t>
      </w:r>
    </w:p>
    <w:p w:rsidR="004C37D6" w:rsidRDefault="004C37D6" w:rsidP="00737992">
      <w:pPr>
        <w:jc w:val="both"/>
        <w:rPr>
          <w:i/>
          <w:sz w:val="22"/>
          <w:szCs w:val="22"/>
        </w:rPr>
      </w:pPr>
    </w:p>
    <w:p w:rsidR="004C37D6" w:rsidRDefault="00072209" w:rsidP="00737992">
      <w:pPr>
        <w:jc w:val="both"/>
      </w:pPr>
      <w:r>
        <w:rPr>
          <w:rFonts w:ascii="Arial" w:eastAsia="MS Mincho" w:hAnsi="Arial" w:cs="Arial"/>
          <w:b/>
          <w:color w:val="000000"/>
          <w:sz w:val="28"/>
          <w:szCs w:val="28"/>
          <w:lang w:eastAsia="fr-FR"/>
        </w:rPr>
        <w:t>14h00 Isabelle Duhamel-</w:t>
      </w:r>
      <w:proofErr w:type="spellStart"/>
      <w:r>
        <w:rPr>
          <w:rFonts w:ascii="Arial" w:eastAsia="MS Mincho" w:hAnsi="Arial" w:cs="Arial"/>
          <w:b/>
          <w:color w:val="000000"/>
          <w:sz w:val="28"/>
          <w:szCs w:val="28"/>
          <w:lang w:eastAsia="fr-FR"/>
        </w:rPr>
        <w:t>Achin</w:t>
      </w:r>
      <w:proofErr w:type="spellEnd"/>
      <w:r>
        <w:rPr>
          <w:rFonts w:ascii="Arial" w:eastAsia="MS Mincho" w:hAnsi="Arial" w:cs="Arial"/>
          <w:b/>
          <w:color w:val="000000"/>
          <w:sz w:val="28"/>
          <w:szCs w:val="28"/>
          <w:lang w:eastAsia="fr-FR"/>
        </w:rPr>
        <w:t xml:space="preserve"> (</w:t>
      </w:r>
      <w:r w:rsidR="000247CA">
        <w:rPr>
          <w:rFonts w:ascii="Arial" w:eastAsia="MS Mincho" w:hAnsi="Arial" w:cs="Arial"/>
          <w:b/>
          <w:color w:val="000000"/>
          <w:sz w:val="28"/>
          <w:szCs w:val="28"/>
          <w:lang w:eastAsia="fr-FR"/>
        </w:rPr>
        <w:t>G</w:t>
      </w:r>
      <w:r>
        <w:rPr>
          <w:rFonts w:ascii="Arial" w:eastAsia="MS Mincho" w:hAnsi="Arial" w:cs="Arial"/>
          <w:b/>
          <w:color w:val="000000"/>
          <w:sz w:val="28"/>
          <w:szCs w:val="28"/>
          <w:lang w:eastAsia="fr-FR"/>
        </w:rPr>
        <w:t>éologue, BRGM)</w:t>
      </w:r>
    </w:p>
    <w:p w:rsidR="004C37D6" w:rsidRDefault="004C37D6" w:rsidP="00737992">
      <w:pPr>
        <w:jc w:val="both"/>
        <w:rPr>
          <w:rFonts w:ascii="Arial" w:hAnsi="Arial" w:cs="Arial"/>
          <w:b/>
          <w:color w:val="353535"/>
          <w:sz w:val="28"/>
          <w:szCs w:val="28"/>
          <w:highlight w:val="yellow"/>
          <w:lang w:eastAsia="fr-FR"/>
        </w:rPr>
      </w:pPr>
    </w:p>
    <w:p w:rsidR="004C37D6" w:rsidRDefault="00072209" w:rsidP="00737992">
      <w:pPr>
        <w:jc w:val="both"/>
      </w:pPr>
      <w:r>
        <w:rPr>
          <w:rFonts w:ascii="Arial" w:hAnsi="Arial" w:cs="Arial"/>
          <w:b/>
          <w:color w:val="353535"/>
          <w:sz w:val="28"/>
          <w:szCs w:val="28"/>
          <w:lang w:eastAsia="fr-FR"/>
        </w:rPr>
        <w:t>Titre :</w:t>
      </w:r>
      <w:r>
        <w:rPr>
          <w:rFonts w:ascii="Arial" w:hAnsi="Arial" w:cs="Arial"/>
          <w:i/>
          <w:color w:val="353535"/>
          <w:sz w:val="28"/>
          <w:szCs w:val="28"/>
          <w:lang w:eastAsia="fr-FR"/>
        </w:rPr>
        <w:t xml:space="preserve"> Le secteur minier en pleine évolution pour faire face à la demande actuelle et aux enjeux de demain</w:t>
      </w:r>
    </w:p>
    <w:p w:rsidR="004C37D6" w:rsidRDefault="004C37D6">
      <w:pPr>
        <w:rPr>
          <w:rFonts w:ascii="Arial" w:hAnsi="Arial" w:cs="Arial"/>
          <w:color w:val="353535"/>
          <w:sz w:val="24"/>
          <w:lang w:eastAsia="fr-FR"/>
        </w:rPr>
      </w:pPr>
    </w:p>
    <w:p w:rsidR="004C37D6" w:rsidRDefault="00072209">
      <w:pPr>
        <w:jc w:val="both"/>
        <w:rPr>
          <w:rFonts w:ascii="Arial" w:hAnsi="Arial" w:cs="Arial"/>
          <w:sz w:val="24"/>
        </w:rPr>
      </w:pPr>
      <w:r>
        <w:rPr>
          <w:rFonts w:ascii="Arial" w:hAnsi="Arial" w:cs="Arial"/>
          <w:sz w:val="24"/>
        </w:rPr>
        <w:t xml:space="preserve">Les constats actuels sont alarmants sur la croissance exponentielle des besoins en ressources </w:t>
      </w:r>
      <w:r>
        <w:rPr>
          <w:rFonts w:ascii="Arial" w:hAnsi="Arial" w:cs="Arial"/>
          <w:sz w:val="24"/>
        </w:rPr>
        <w:t xml:space="preserve">minérales et les risques d’approvisionnement pour les filières </w:t>
      </w:r>
      <w:proofErr w:type="gramStart"/>
      <w:r>
        <w:rPr>
          <w:rFonts w:ascii="Arial" w:hAnsi="Arial" w:cs="Arial"/>
          <w:sz w:val="24"/>
        </w:rPr>
        <w:t>technologiques</w:t>
      </w:r>
      <w:proofErr w:type="gramEnd"/>
      <w:r>
        <w:rPr>
          <w:rFonts w:ascii="Arial" w:hAnsi="Arial" w:cs="Arial"/>
          <w:sz w:val="24"/>
        </w:rPr>
        <w:t>, ainsi que pour assurer la politique de transition énergétique bas carbone afin de lutter contre le changement climatique. Pour faire face à ces enjeux majeurs, la recherche et l</w:t>
      </w:r>
      <w:r>
        <w:rPr>
          <w:rFonts w:ascii="Arial" w:hAnsi="Arial" w:cs="Arial"/>
          <w:sz w:val="24"/>
        </w:rPr>
        <w:t>’innovation dans l’industrie minière s’intensifient et se focalisent sur : de nouvelles voies d’exploration, des technologies de prospection moins invasives, la transformation numérique pour améliorer la gestion de la production, la valorisation des déchet</w:t>
      </w:r>
      <w:r>
        <w:rPr>
          <w:rFonts w:ascii="Arial" w:hAnsi="Arial" w:cs="Arial"/>
          <w:sz w:val="24"/>
        </w:rPr>
        <w:t>s et la diminution des impacts environnementaux afin d’assurer un approvisionnement plus responsable. Quelles sont les conditions raisonnables d’exploitation des ressources du sous-sol pour que le secteur puisse répondre aux futurs besoins sans pour autant</w:t>
      </w:r>
      <w:r>
        <w:rPr>
          <w:rFonts w:ascii="Arial" w:hAnsi="Arial" w:cs="Arial"/>
          <w:sz w:val="24"/>
        </w:rPr>
        <w:t xml:space="preserve"> compromettre l’environnement ? Ces changements opérationnels dans l’industrie suffiront-ils pour permettre une production suffisante et pérenne des matières premières nécessaires à la transition énergétique ?</w:t>
      </w:r>
    </w:p>
    <w:p w:rsidR="004C37D6" w:rsidRDefault="004C37D6">
      <w:pPr>
        <w:jc w:val="both"/>
        <w:rPr>
          <w:rFonts w:ascii="Arial" w:eastAsia="MS Mincho" w:hAnsi="Arial" w:cs="Arial"/>
          <w:b/>
          <w:color w:val="000000"/>
          <w:sz w:val="28"/>
          <w:szCs w:val="28"/>
          <w:lang w:eastAsia="fr-FR"/>
        </w:rPr>
      </w:pPr>
    </w:p>
    <w:p w:rsidR="004C37D6" w:rsidRDefault="00072209">
      <w:pPr>
        <w:jc w:val="both"/>
      </w:pPr>
      <w:r>
        <w:rPr>
          <w:rFonts w:ascii="Arial" w:eastAsia="MS Mincho" w:hAnsi="Arial" w:cs="Arial"/>
          <w:b/>
          <w:color w:val="000000"/>
          <w:sz w:val="28"/>
          <w:szCs w:val="28"/>
          <w:lang w:eastAsia="fr-FR"/>
        </w:rPr>
        <w:t>14h30 Florian Vidal (</w:t>
      </w:r>
      <w:r w:rsidR="000247CA">
        <w:rPr>
          <w:rFonts w:ascii="Arial" w:eastAsia="MS Mincho" w:hAnsi="Arial" w:cs="Arial"/>
          <w:b/>
          <w:color w:val="000000"/>
          <w:sz w:val="28"/>
          <w:szCs w:val="28"/>
          <w:lang w:eastAsia="fr-FR"/>
        </w:rPr>
        <w:t>P</w:t>
      </w:r>
      <w:r>
        <w:rPr>
          <w:rFonts w:ascii="Arial" w:eastAsia="MS Mincho" w:hAnsi="Arial" w:cs="Arial"/>
          <w:b/>
          <w:color w:val="000000"/>
          <w:sz w:val="28"/>
          <w:szCs w:val="28"/>
          <w:lang w:eastAsia="fr-FR"/>
        </w:rPr>
        <w:t>olitiste, IFRI et LIED</w:t>
      </w:r>
      <w:r>
        <w:rPr>
          <w:rFonts w:ascii="Arial" w:eastAsia="MS Mincho" w:hAnsi="Arial" w:cs="Arial"/>
          <w:b/>
          <w:color w:val="000000"/>
          <w:sz w:val="28"/>
          <w:szCs w:val="28"/>
          <w:lang w:eastAsia="fr-FR"/>
        </w:rPr>
        <w:t>, Université Paris Diderot)</w:t>
      </w:r>
    </w:p>
    <w:p w:rsidR="004C37D6" w:rsidRDefault="004C37D6">
      <w:pPr>
        <w:jc w:val="both"/>
        <w:rPr>
          <w:rFonts w:ascii="Arial" w:eastAsia="MS Mincho" w:hAnsi="Arial" w:cs="Arial"/>
          <w:b/>
          <w:color w:val="000000"/>
          <w:sz w:val="28"/>
          <w:szCs w:val="28"/>
          <w:lang w:eastAsia="fr-FR"/>
        </w:rPr>
      </w:pPr>
    </w:p>
    <w:p w:rsidR="004C37D6" w:rsidRDefault="00072209">
      <w:r>
        <w:rPr>
          <w:rFonts w:ascii="Arial" w:hAnsi="Arial"/>
          <w:b/>
          <w:bCs/>
          <w:sz w:val="28"/>
          <w:szCs w:val="28"/>
        </w:rPr>
        <w:t>Titre :</w:t>
      </w:r>
      <w:r>
        <w:rPr>
          <w:rFonts w:ascii="Arial" w:hAnsi="Arial" w:cs="Arial"/>
          <w:i/>
          <w:color w:val="353535"/>
          <w:sz w:val="28"/>
          <w:szCs w:val="28"/>
          <w:lang w:eastAsia="fr-FR"/>
        </w:rPr>
        <w:t xml:space="preserve"> Les mines en Arctique : renaissance de l'</w:t>
      </w:r>
      <w:proofErr w:type="spellStart"/>
      <w:r>
        <w:rPr>
          <w:rFonts w:ascii="Arial" w:hAnsi="Arial" w:cs="Arial"/>
          <w:i/>
          <w:color w:val="353535"/>
          <w:sz w:val="28"/>
          <w:szCs w:val="28"/>
          <w:lang w:eastAsia="fr-FR"/>
        </w:rPr>
        <w:t>extractivisme</w:t>
      </w:r>
      <w:proofErr w:type="spellEnd"/>
      <w:r>
        <w:rPr>
          <w:rFonts w:ascii="Arial" w:hAnsi="Arial" w:cs="Arial"/>
          <w:i/>
          <w:color w:val="353535"/>
          <w:sz w:val="28"/>
          <w:szCs w:val="28"/>
          <w:lang w:eastAsia="fr-FR"/>
        </w:rPr>
        <w:t xml:space="preserve"> ?</w:t>
      </w:r>
    </w:p>
    <w:p w:rsidR="004C37D6" w:rsidRDefault="004C37D6">
      <w:pPr>
        <w:jc w:val="both"/>
        <w:rPr>
          <w:rFonts w:ascii="Arial" w:hAnsi="Arial" w:cs="Arial"/>
          <w:sz w:val="24"/>
        </w:rPr>
      </w:pPr>
    </w:p>
    <w:p w:rsidR="004C37D6" w:rsidRDefault="00072209">
      <w:pPr>
        <w:jc w:val="both"/>
      </w:pPr>
      <w:r>
        <w:rPr>
          <w:rFonts w:ascii="Arial" w:hAnsi="Arial" w:cs="Arial"/>
          <w:sz w:val="24"/>
        </w:rPr>
        <w:t>La course aux ressources non-renouvelables dans la région Arctique semble engag</w:t>
      </w:r>
      <w:r>
        <w:rPr>
          <w:rFonts w:ascii="Arial" w:hAnsi="Arial" w:cs="Arial"/>
          <w:sz w:val="24"/>
        </w:rPr>
        <w:t>ée</w:t>
      </w:r>
      <w:r>
        <w:rPr>
          <w:rFonts w:ascii="Arial" w:hAnsi="Arial" w:cs="Arial"/>
          <w:sz w:val="24"/>
        </w:rPr>
        <w:t xml:space="preserve"> par les grandes puissances industrielles. Or, depuis la révolution industrielle, la région a été témoin à plusieurs reprises d’activités extractives significatives. De la ruée vers l’or en Alaska, au milieu du XIX</w:t>
      </w:r>
      <w:r>
        <w:rPr>
          <w:rFonts w:ascii="Arial" w:hAnsi="Arial" w:cs="Arial"/>
          <w:sz w:val="24"/>
          <w:vertAlign w:val="superscript"/>
        </w:rPr>
        <w:t>e</w:t>
      </w:r>
      <w:r>
        <w:rPr>
          <w:rFonts w:ascii="Arial" w:hAnsi="Arial" w:cs="Arial"/>
          <w:sz w:val="24"/>
        </w:rPr>
        <w:t xml:space="preserve"> siècle, à l’ambitieux programme de dével</w:t>
      </w:r>
      <w:r>
        <w:rPr>
          <w:rFonts w:ascii="Arial" w:hAnsi="Arial" w:cs="Arial"/>
          <w:sz w:val="24"/>
        </w:rPr>
        <w:t>oppement minier du gouvernement russe dans le cadre de la route maritime du Nord (</w:t>
      </w:r>
      <w:proofErr w:type="spellStart"/>
      <w:r>
        <w:rPr>
          <w:rFonts w:ascii="Arial" w:hAnsi="Arial" w:cs="Arial"/>
          <w:i/>
          <w:iCs/>
          <w:sz w:val="24"/>
        </w:rPr>
        <w:t>Severmorput</w:t>
      </w:r>
      <w:proofErr w:type="spellEnd"/>
      <w:r>
        <w:rPr>
          <w:rFonts w:ascii="Arial" w:hAnsi="Arial" w:cs="Arial"/>
          <w:sz w:val="24"/>
        </w:rPr>
        <w:t>), il s’agit de comprendre les ressorts du renouveau actuel de l’</w:t>
      </w:r>
      <w:proofErr w:type="spellStart"/>
      <w:r>
        <w:rPr>
          <w:rFonts w:ascii="Arial" w:hAnsi="Arial" w:cs="Arial"/>
          <w:sz w:val="24"/>
        </w:rPr>
        <w:t>extractivisme</w:t>
      </w:r>
      <w:proofErr w:type="spellEnd"/>
      <w:r>
        <w:rPr>
          <w:rFonts w:ascii="Arial" w:hAnsi="Arial" w:cs="Arial"/>
          <w:sz w:val="24"/>
        </w:rPr>
        <w:t>. À partir de ce postulat, quelles sont les implications stratégiques ? Comment ce dé</w:t>
      </w:r>
      <w:r>
        <w:rPr>
          <w:rFonts w:ascii="Arial" w:hAnsi="Arial" w:cs="Arial"/>
          <w:sz w:val="24"/>
        </w:rPr>
        <w:t xml:space="preserve">veloppement traduit-il une nouvelle réalité politique et économique au sein de la communauté internationale ?  Quel type de gouvernance amorce-t-elle pour les pays arctiques ? </w:t>
      </w:r>
    </w:p>
    <w:p w:rsidR="004C37D6" w:rsidRDefault="004C37D6">
      <w:pPr>
        <w:jc w:val="both"/>
        <w:rPr>
          <w:rFonts w:ascii="Arial" w:eastAsia="MS Mincho" w:hAnsi="Arial" w:cs="Arial"/>
          <w:b/>
          <w:color w:val="000000"/>
          <w:sz w:val="28"/>
          <w:szCs w:val="28"/>
          <w:lang w:eastAsia="fr-FR"/>
        </w:rPr>
      </w:pPr>
    </w:p>
    <w:p w:rsidR="004C37D6" w:rsidRDefault="004C37D6">
      <w:pPr>
        <w:jc w:val="both"/>
        <w:rPr>
          <w:rFonts w:ascii="Arial" w:eastAsia="MS Mincho" w:hAnsi="Arial" w:cs="Arial"/>
          <w:b/>
          <w:color w:val="000000"/>
          <w:sz w:val="28"/>
          <w:szCs w:val="28"/>
          <w:lang w:eastAsia="fr-FR"/>
        </w:rPr>
      </w:pPr>
    </w:p>
    <w:p w:rsidR="004C37D6" w:rsidRDefault="00072209">
      <w:pPr>
        <w:jc w:val="both"/>
        <w:rPr>
          <w:rFonts w:ascii="Arial" w:eastAsia="MS Mincho" w:hAnsi="Arial" w:cs="Arial"/>
          <w:b/>
          <w:color w:val="000000"/>
          <w:sz w:val="28"/>
          <w:szCs w:val="28"/>
          <w:lang w:eastAsia="fr-FR"/>
        </w:rPr>
      </w:pPr>
      <w:r>
        <w:rPr>
          <w:rFonts w:ascii="Arial" w:eastAsia="MS Mincho" w:hAnsi="Arial" w:cs="Arial"/>
          <w:b/>
          <w:color w:val="000000"/>
          <w:sz w:val="28"/>
          <w:szCs w:val="28"/>
          <w:lang w:eastAsia="fr-FR"/>
        </w:rPr>
        <w:t xml:space="preserve">15h Pause </w:t>
      </w:r>
    </w:p>
    <w:p w:rsidR="004C37D6" w:rsidRDefault="004C37D6">
      <w:pPr>
        <w:jc w:val="both"/>
        <w:rPr>
          <w:rFonts w:ascii="Arial" w:eastAsia="MS Mincho" w:hAnsi="Arial" w:cs="Arial"/>
          <w:b/>
          <w:color w:val="000000"/>
          <w:sz w:val="28"/>
          <w:szCs w:val="28"/>
          <w:lang w:eastAsia="fr-FR"/>
        </w:rPr>
      </w:pPr>
    </w:p>
    <w:p w:rsidR="004C37D6" w:rsidRDefault="00072209">
      <w:pPr>
        <w:jc w:val="both"/>
        <w:rPr>
          <w:rFonts w:ascii="Arial" w:eastAsia="MS Mincho" w:hAnsi="Arial" w:cs="Arial"/>
          <w:b/>
          <w:i/>
          <w:color w:val="000000"/>
          <w:sz w:val="28"/>
          <w:szCs w:val="28"/>
          <w:lang w:eastAsia="fr-FR"/>
        </w:rPr>
      </w:pPr>
      <w:r>
        <w:rPr>
          <w:rFonts w:ascii="Arial" w:eastAsia="MS Mincho" w:hAnsi="Arial" w:cs="Arial"/>
          <w:b/>
          <w:color w:val="000000"/>
          <w:sz w:val="28"/>
          <w:szCs w:val="28"/>
          <w:lang w:eastAsia="fr-FR"/>
        </w:rPr>
        <w:t xml:space="preserve">15h30 Sébastien </w:t>
      </w:r>
      <w:proofErr w:type="spellStart"/>
      <w:r>
        <w:rPr>
          <w:rFonts w:ascii="Arial" w:eastAsia="MS Mincho" w:hAnsi="Arial" w:cs="Arial"/>
          <w:b/>
          <w:color w:val="000000"/>
          <w:sz w:val="28"/>
          <w:szCs w:val="28"/>
          <w:lang w:eastAsia="fr-FR"/>
        </w:rPr>
        <w:t>Velut</w:t>
      </w:r>
      <w:proofErr w:type="spellEnd"/>
      <w:r>
        <w:rPr>
          <w:rFonts w:ascii="Arial" w:eastAsia="MS Mincho" w:hAnsi="Arial" w:cs="Arial"/>
          <w:b/>
          <w:color w:val="000000"/>
          <w:sz w:val="28"/>
          <w:szCs w:val="28"/>
          <w:lang w:eastAsia="fr-FR"/>
        </w:rPr>
        <w:t xml:space="preserve"> (</w:t>
      </w:r>
      <w:r w:rsidR="000247CA">
        <w:rPr>
          <w:rFonts w:ascii="Arial" w:eastAsia="MS Mincho" w:hAnsi="Arial" w:cs="Arial"/>
          <w:b/>
          <w:color w:val="000000"/>
          <w:sz w:val="28"/>
          <w:szCs w:val="28"/>
          <w:lang w:eastAsia="fr-FR"/>
        </w:rPr>
        <w:t>G</w:t>
      </w:r>
      <w:r>
        <w:rPr>
          <w:rFonts w:ascii="Arial" w:eastAsia="MS Mincho" w:hAnsi="Arial" w:cs="Arial"/>
          <w:b/>
          <w:color w:val="000000"/>
          <w:sz w:val="28"/>
          <w:szCs w:val="28"/>
          <w:lang w:eastAsia="fr-FR"/>
        </w:rPr>
        <w:t xml:space="preserve">éographe, Institut des Hautes Etudes de </w:t>
      </w:r>
      <w:r>
        <w:rPr>
          <w:rFonts w:ascii="Arial" w:eastAsia="MS Mincho" w:hAnsi="Arial" w:cs="Arial"/>
          <w:b/>
          <w:color w:val="000000"/>
          <w:sz w:val="28"/>
          <w:szCs w:val="28"/>
          <w:lang w:eastAsia="fr-FR"/>
        </w:rPr>
        <w:t>l’Amérique Latine, Sorbonne Nouvelle)</w:t>
      </w:r>
    </w:p>
    <w:p w:rsidR="004C37D6" w:rsidRDefault="004C37D6">
      <w:pPr>
        <w:rPr>
          <w:rFonts w:ascii="Arial" w:hAnsi="Arial"/>
          <w:b/>
          <w:bCs/>
          <w:sz w:val="28"/>
          <w:szCs w:val="28"/>
        </w:rPr>
      </w:pPr>
    </w:p>
    <w:p w:rsidR="004C37D6" w:rsidRDefault="00072209">
      <w:pPr>
        <w:rPr>
          <w:rFonts w:ascii="Arial" w:hAnsi="Arial" w:cs="Arial"/>
          <w:i/>
          <w:iCs/>
          <w:color w:val="353535"/>
          <w:sz w:val="28"/>
          <w:szCs w:val="28"/>
          <w:lang w:eastAsia="fr-FR"/>
        </w:rPr>
      </w:pPr>
      <w:r>
        <w:rPr>
          <w:rFonts w:ascii="Arial" w:hAnsi="Arial"/>
          <w:b/>
          <w:bCs/>
          <w:sz w:val="28"/>
          <w:szCs w:val="28"/>
        </w:rPr>
        <w:t>Titre :</w:t>
      </w:r>
      <w:r>
        <w:rPr>
          <w:rFonts w:ascii="Arial" w:hAnsi="Arial"/>
          <w:i/>
          <w:iCs/>
          <w:sz w:val="28"/>
          <w:szCs w:val="28"/>
        </w:rPr>
        <w:t xml:space="preserve"> </w:t>
      </w:r>
      <w:r>
        <w:rPr>
          <w:rFonts w:ascii="Arial" w:hAnsi="Arial" w:cs="Arial"/>
          <w:i/>
          <w:iCs/>
          <w:color w:val="353535"/>
          <w:sz w:val="28"/>
          <w:szCs w:val="28"/>
          <w:lang w:eastAsia="fr-FR"/>
        </w:rPr>
        <w:t>Economie politique de l’exploitation du lithium dans le triangle andin (Chili, Argentine, Bolivie)</w:t>
      </w:r>
    </w:p>
    <w:p w:rsidR="004C37D6" w:rsidRDefault="004C37D6">
      <w:pPr>
        <w:rPr>
          <w:rFonts w:ascii="Arial" w:hAnsi="Arial" w:cs="Arial"/>
          <w:i/>
          <w:iCs/>
          <w:color w:val="353535"/>
          <w:sz w:val="28"/>
          <w:szCs w:val="28"/>
          <w:lang w:eastAsia="fr-FR"/>
        </w:rPr>
      </w:pPr>
    </w:p>
    <w:p w:rsidR="004C37D6" w:rsidRDefault="00072209">
      <w:pPr>
        <w:jc w:val="both"/>
        <w:rPr>
          <w:rFonts w:ascii="Arial" w:hAnsi="Arial" w:cs="Arial"/>
          <w:sz w:val="24"/>
        </w:rPr>
      </w:pPr>
      <w:r>
        <w:rPr>
          <w:rFonts w:ascii="Arial" w:hAnsi="Arial" w:cs="Arial"/>
          <w:sz w:val="24"/>
        </w:rPr>
        <w:t>Si les ressources en lithium des lacs fermés d’altitude sont connues et partiellement exploitées depuis longtemps, ce n’est que depuis une dizaine d’années que se produit dans les trois pays concernés (Chili, Argentine et Bolivie) une course au lithium pou</w:t>
      </w:r>
      <w:r>
        <w:rPr>
          <w:rFonts w:ascii="Arial" w:hAnsi="Arial" w:cs="Arial"/>
          <w:sz w:val="24"/>
        </w:rPr>
        <w:t xml:space="preserve">r exploiter ces ressources et insérer la région dans les circuits globaux de valorisation de la filière énergétique. La région </w:t>
      </w:r>
      <w:proofErr w:type="spellStart"/>
      <w:r>
        <w:rPr>
          <w:rFonts w:ascii="Arial" w:hAnsi="Arial" w:cs="Arial"/>
          <w:sz w:val="24"/>
        </w:rPr>
        <w:t>trinationale</w:t>
      </w:r>
      <w:proofErr w:type="spellEnd"/>
      <w:r>
        <w:rPr>
          <w:rFonts w:ascii="Arial" w:hAnsi="Arial" w:cs="Arial"/>
          <w:sz w:val="24"/>
        </w:rPr>
        <w:t>, qui était essentiellement un lieu de consommation d’énergie, particulièrement pour les mines, devient un lieu impor</w:t>
      </w:r>
      <w:r>
        <w:rPr>
          <w:rFonts w:ascii="Arial" w:hAnsi="Arial" w:cs="Arial"/>
          <w:sz w:val="24"/>
        </w:rPr>
        <w:t>tant de filières de conversion d’énergie. On s’attachera dans cet exposé à montrer la façon dont s’organise cette transition en comparant les trois situations nationales, qui rendent compte, dans des situations semblables en termes de milieux de population</w:t>
      </w:r>
      <w:r>
        <w:rPr>
          <w:rFonts w:ascii="Arial" w:hAnsi="Arial" w:cs="Arial"/>
          <w:sz w:val="24"/>
        </w:rPr>
        <w:t xml:space="preserve">, de trois économies politiques profondément différentes. </w:t>
      </w:r>
    </w:p>
    <w:p w:rsidR="004C37D6" w:rsidRDefault="004C37D6">
      <w:pPr>
        <w:jc w:val="both"/>
        <w:rPr>
          <w:rFonts w:ascii="Arial" w:hAnsi="Arial" w:cs="Arial"/>
          <w:sz w:val="24"/>
        </w:rPr>
      </w:pPr>
    </w:p>
    <w:p w:rsidR="004C37D6" w:rsidRDefault="004C37D6">
      <w:pPr>
        <w:jc w:val="both"/>
        <w:rPr>
          <w:rFonts w:eastAsia="MS Mincho"/>
          <w:i/>
          <w:color w:val="000000"/>
          <w:sz w:val="22"/>
          <w:szCs w:val="22"/>
          <w:lang w:eastAsia="fr-FR"/>
        </w:rPr>
      </w:pPr>
    </w:p>
    <w:p w:rsidR="004C37D6" w:rsidRDefault="00072209">
      <w:pPr>
        <w:jc w:val="both"/>
      </w:pPr>
      <w:r>
        <w:rPr>
          <w:rFonts w:ascii="Arial" w:eastAsia="MS Mincho" w:hAnsi="Arial" w:cs="Arial"/>
          <w:b/>
          <w:color w:val="000000"/>
          <w:sz w:val="28"/>
          <w:szCs w:val="28"/>
          <w:lang w:eastAsia="fr-FR"/>
        </w:rPr>
        <w:t xml:space="preserve">16h Débat final. Animateurs : </w:t>
      </w:r>
      <w:r>
        <w:rPr>
          <w:rFonts w:ascii="Arial" w:eastAsia="MS Mincho" w:hAnsi="Arial" w:cs="Arial"/>
          <w:b/>
          <w:i/>
          <w:iCs/>
          <w:color w:val="000000"/>
          <w:sz w:val="28"/>
          <w:szCs w:val="28"/>
          <w:lang w:eastAsia="fr-FR"/>
        </w:rPr>
        <w:t xml:space="preserve">Cécilia </w:t>
      </w:r>
      <w:proofErr w:type="spellStart"/>
      <w:r>
        <w:rPr>
          <w:rFonts w:ascii="Arial" w:eastAsia="MS Mincho" w:hAnsi="Arial" w:cs="Arial"/>
          <w:b/>
          <w:i/>
          <w:iCs/>
          <w:color w:val="000000"/>
          <w:sz w:val="28"/>
          <w:szCs w:val="28"/>
          <w:lang w:eastAsia="fr-FR"/>
        </w:rPr>
        <w:t>Bobée</w:t>
      </w:r>
      <w:proofErr w:type="spellEnd"/>
      <w:r>
        <w:rPr>
          <w:rFonts w:ascii="Arial" w:eastAsia="MS Mincho" w:hAnsi="Arial" w:cs="Arial"/>
          <w:b/>
          <w:i/>
          <w:iCs/>
          <w:color w:val="000000"/>
          <w:sz w:val="28"/>
          <w:szCs w:val="28"/>
          <w:lang w:eastAsia="fr-FR"/>
        </w:rPr>
        <w:t xml:space="preserve"> (Géographe, LIED) et José </w:t>
      </w:r>
      <w:proofErr w:type="spellStart"/>
      <w:r>
        <w:rPr>
          <w:rFonts w:ascii="Arial" w:eastAsia="MS Mincho" w:hAnsi="Arial" w:cs="Arial"/>
          <w:b/>
          <w:i/>
          <w:iCs/>
          <w:color w:val="000000"/>
          <w:sz w:val="28"/>
          <w:szCs w:val="28"/>
          <w:lang w:eastAsia="fr-FR"/>
        </w:rPr>
        <w:t>Halloy</w:t>
      </w:r>
      <w:proofErr w:type="spellEnd"/>
      <w:r>
        <w:rPr>
          <w:rFonts w:ascii="Arial" w:eastAsia="MS Mincho" w:hAnsi="Arial" w:cs="Arial"/>
          <w:b/>
          <w:i/>
          <w:iCs/>
          <w:color w:val="000000"/>
          <w:sz w:val="28"/>
          <w:szCs w:val="28"/>
          <w:lang w:eastAsia="fr-FR"/>
        </w:rPr>
        <w:t xml:space="preserve"> (Physicien, LIED)</w:t>
      </w:r>
    </w:p>
    <w:p w:rsidR="004C37D6" w:rsidRDefault="004C37D6"/>
    <w:sectPr w:rsidR="004C37D6">
      <w:headerReference w:type="default" r:id="rId9"/>
      <w:footerReference w:type="default" r:id="rId10"/>
      <w:pgSz w:w="11906" w:h="16838"/>
      <w:pgMar w:top="1418" w:right="1304" w:bottom="1418" w:left="1304"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09" w:rsidRDefault="00072209">
      <w:r>
        <w:separator/>
      </w:r>
    </w:p>
  </w:endnote>
  <w:endnote w:type="continuationSeparator" w:id="0">
    <w:p w:rsidR="00072209" w:rsidRDefault="0007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6" w:rsidRDefault="004C37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09" w:rsidRDefault="00072209">
      <w:r>
        <w:separator/>
      </w:r>
    </w:p>
  </w:footnote>
  <w:footnote w:type="continuationSeparator" w:id="0">
    <w:p w:rsidR="00072209" w:rsidRDefault="0007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6" w:rsidRDefault="004C37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D6"/>
    <w:rsid w:val="000247CA"/>
    <w:rsid w:val="00072209"/>
    <w:rsid w:val="004C37D6"/>
    <w:rsid w:val="005241B1"/>
    <w:rsid w:val="00737992"/>
    <w:rsid w:val="007C7621"/>
    <w:rsid w:val="008371C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D5EDE-F0F9-4E1D-8396-12555681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24"/>
    <w:pPr>
      <w:widowControl w:val="0"/>
      <w:suppressAutoHyphens/>
    </w:pPr>
    <w:rPr>
      <w:rFonts w:ascii="Times New Roman" w:eastAsia="Times New Roman" w:hAnsi="Times New Roman" w:cs="Times New Roman"/>
      <w:color w:val="00000A"/>
      <w:szCs w:val="24"/>
      <w:lang w:eastAsia="zh-CN"/>
    </w:rPr>
  </w:style>
  <w:style w:type="paragraph" w:styleId="Titre2">
    <w:name w:val="heading 2"/>
    <w:basedOn w:val="Normal"/>
    <w:next w:val="Normal"/>
    <w:link w:val="Titre2Car"/>
    <w:uiPriority w:val="9"/>
    <w:unhideWhenUsed/>
    <w:qFormat/>
    <w:rsid w:val="00305424"/>
    <w:pPr>
      <w:keepNext/>
      <w:keepLines/>
      <w:widowControl/>
      <w:spacing w:before="200" w:after="120"/>
      <w:outlineLvl w:val="1"/>
    </w:pPr>
    <w:rPr>
      <w:rFonts w:ascii="Arial" w:hAnsi="Arial"/>
      <w:b/>
      <w:bCs/>
      <w:sz w:val="28"/>
      <w:szCs w:val="26"/>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305424"/>
    <w:rPr>
      <w:rFonts w:ascii="Arial" w:eastAsia="Times New Roman" w:hAnsi="Arial" w:cs="Times New Roman"/>
      <w:b/>
      <w:bCs/>
      <w:sz w:val="28"/>
      <w:szCs w:val="26"/>
      <w:u w:val="single"/>
      <w:lang w:eastAsia="fr-FR"/>
    </w:rPr>
  </w:style>
  <w:style w:type="character" w:customStyle="1" w:styleId="En-tteCar">
    <w:name w:val="En-tête Car"/>
    <w:basedOn w:val="Policepardfaut"/>
    <w:qFormat/>
    <w:rsid w:val="00305424"/>
    <w:rPr>
      <w:rFonts w:ascii="Times New Roman" w:eastAsia="Times New Roman" w:hAnsi="Times New Roman" w:cs="Times New Roman"/>
      <w:sz w:val="20"/>
      <w:szCs w:val="24"/>
      <w:lang w:eastAsia="zh-CN"/>
    </w:rPr>
  </w:style>
  <w:style w:type="character" w:customStyle="1" w:styleId="PieddepageCar">
    <w:name w:val="Pied de page Car"/>
    <w:basedOn w:val="Policepardfaut"/>
    <w:link w:val="Pieddepage"/>
    <w:qFormat/>
    <w:rsid w:val="00305424"/>
    <w:rPr>
      <w:rFonts w:ascii="Times New Roman" w:eastAsia="Times New Roman" w:hAnsi="Times New Roman" w:cs="Times New Roman"/>
      <w:sz w:val="20"/>
      <w:szCs w:val="24"/>
      <w:lang w:eastAsia="zh-CN"/>
    </w:rPr>
  </w:style>
  <w:style w:type="character" w:styleId="Marquedecommentaire">
    <w:name w:val="annotation reference"/>
    <w:basedOn w:val="Policepardfaut"/>
    <w:uiPriority w:val="99"/>
    <w:semiHidden/>
    <w:unhideWhenUsed/>
    <w:qFormat/>
    <w:rsid w:val="00A11BD7"/>
    <w:rPr>
      <w:sz w:val="16"/>
      <w:szCs w:val="16"/>
    </w:rPr>
  </w:style>
  <w:style w:type="character" w:customStyle="1" w:styleId="CommentaireCar">
    <w:name w:val="Commentaire Car"/>
    <w:basedOn w:val="Policepardfaut"/>
    <w:link w:val="Commentaire"/>
    <w:uiPriority w:val="99"/>
    <w:qFormat/>
    <w:rsid w:val="00A11BD7"/>
    <w:rPr>
      <w:rFonts w:ascii="Times New Roman" w:eastAsia="Times New Roman" w:hAnsi="Times New Roman" w:cs="Times New Roman"/>
      <w:sz w:val="20"/>
      <w:szCs w:val="20"/>
      <w:lang w:eastAsia="zh-CN"/>
    </w:rPr>
  </w:style>
  <w:style w:type="character" w:customStyle="1" w:styleId="ObjetducommentaireCar">
    <w:name w:val="Objet du commentaire Car"/>
    <w:basedOn w:val="CommentaireCar"/>
    <w:link w:val="Objetducommentaire"/>
    <w:uiPriority w:val="99"/>
    <w:semiHidden/>
    <w:qFormat/>
    <w:rsid w:val="00A11BD7"/>
    <w:rPr>
      <w:rFonts w:ascii="Times New Roman" w:eastAsia="Times New Roman" w:hAnsi="Times New Roman" w:cs="Times New Roman"/>
      <w:b/>
      <w:bCs/>
      <w:sz w:val="20"/>
      <w:szCs w:val="20"/>
      <w:lang w:eastAsia="zh-CN"/>
    </w:rPr>
  </w:style>
  <w:style w:type="character" w:customStyle="1" w:styleId="TextedebullesCar">
    <w:name w:val="Texte de bulles Car"/>
    <w:basedOn w:val="Policepardfaut"/>
    <w:link w:val="Textedebulles"/>
    <w:uiPriority w:val="99"/>
    <w:semiHidden/>
    <w:qFormat/>
    <w:rsid w:val="00A11BD7"/>
    <w:rPr>
      <w:rFonts w:ascii="Tahoma" w:eastAsia="Times New Roman" w:hAnsi="Tahoma" w:cs="Tahoma"/>
      <w:sz w:val="16"/>
      <w:szCs w:val="16"/>
      <w:lang w:eastAsia="zh-CN"/>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En-tte">
    <w:name w:val="header"/>
    <w:basedOn w:val="Normal"/>
    <w:unhideWhenUsed/>
    <w:rsid w:val="00305424"/>
    <w:pPr>
      <w:tabs>
        <w:tab w:val="center" w:pos="4536"/>
        <w:tab w:val="right" w:pos="9072"/>
      </w:tabs>
    </w:pPr>
  </w:style>
  <w:style w:type="paragraph" w:styleId="Pieddepage">
    <w:name w:val="footer"/>
    <w:basedOn w:val="Normal"/>
    <w:link w:val="PieddepageCar"/>
    <w:unhideWhenUsed/>
    <w:rsid w:val="00305424"/>
    <w:pPr>
      <w:tabs>
        <w:tab w:val="center" w:pos="4536"/>
        <w:tab w:val="right" w:pos="9072"/>
      </w:tabs>
    </w:pPr>
  </w:style>
  <w:style w:type="paragraph" w:customStyle="1" w:styleId="Body">
    <w:name w:val="Body"/>
    <w:qFormat/>
    <w:rsid w:val="00305424"/>
    <w:pPr>
      <w:widowControl w:val="0"/>
      <w:suppressAutoHyphens/>
    </w:pPr>
    <w:rPr>
      <w:rFonts w:ascii="Times New Roman" w:eastAsia="Arial Unicode MS" w:hAnsi="Times New Roman" w:cs="Arial Unicode MS"/>
      <w:color w:val="000000"/>
      <w:szCs w:val="20"/>
      <w:u w:color="000000"/>
      <w:lang w:eastAsia="fr-FR"/>
    </w:rPr>
  </w:style>
  <w:style w:type="paragraph" w:styleId="Commentaire">
    <w:name w:val="annotation text"/>
    <w:basedOn w:val="Normal"/>
    <w:link w:val="CommentaireCar"/>
    <w:uiPriority w:val="99"/>
    <w:unhideWhenUsed/>
    <w:qFormat/>
    <w:rsid w:val="00A11BD7"/>
    <w:rPr>
      <w:szCs w:val="20"/>
    </w:rPr>
  </w:style>
  <w:style w:type="paragraph" w:styleId="Objetducommentaire">
    <w:name w:val="annotation subject"/>
    <w:basedOn w:val="Commentaire"/>
    <w:link w:val="ObjetducommentaireCar"/>
    <w:uiPriority w:val="99"/>
    <w:semiHidden/>
    <w:unhideWhenUsed/>
    <w:qFormat/>
    <w:rsid w:val="00A11BD7"/>
    <w:rPr>
      <w:b/>
      <w:bCs/>
    </w:rPr>
  </w:style>
  <w:style w:type="paragraph" w:styleId="Textedebulles">
    <w:name w:val="Balloon Text"/>
    <w:basedOn w:val="Normal"/>
    <w:link w:val="TextedebullesCar"/>
    <w:uiPriority w:val="99"/>
    <w:semiHidden/>
    <w:unhideWhenUsed/>
    <w:qFormat/>
    <w:rsid w:val="00A11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11" ma:contentTypeDescription="Crée un document." ma:contentTypeScope="" ma:versionID="f9bedaad5162181cbe61a508188467aa">
  <xsd:schema xmlns:xsd="http://www.w3.org/2001/XMLSchema" xmlns:xs="http://www.w3.org/2001/XMLSchema" xmlns:p="http://schemas.microsoft.com/office/2006/metadata/properties" xmlns:ns3="ef960f52-0889-49a1-9498-875d9c4777b6" xmlns:ns4="fbe33f42-29a1-4b11-af01-b796570c76cb" targetNamespace="http://schemas.microsoft.com/office/2006/metadata/properties" ma:root="true" ma:fieldsID="65352cfee6f72f94b22e4fe96ec3ca8d" ns3:_="" ns4:_="">
    <xsd:import namespace="ef960f52-0889-49a1-9498-875d9c4777b6"/>
    <xsd:import namespace="fbe33f42-29a1-4b11-af01-b796570c7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33f42-29a1-4b11-af01-b796570c76c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EC3D3-CAFB-492A-8574-CCC23B1EA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B7096-0E27-4AF9-B483-5144808D5EA0}">
  <ds:schemaRefs>
    <ds:schemaRef ds:uri="http://schemas.microsoft.com/sharepoint/v3/contenttype/forms"/>
  </ds:schemaRefs>
</ds:datastoreItem>
</file>

<file path=customXml/itemProps3.xml><?xml version="1.0" encoding="utf-8"?>
<ds:datastoreItem xmlns:ds="http://schemas.openxmlformats.org/officeDocument/2006/customXml" ds:itemID="{C27F578B-858E-4EA1-95D2-87D0BB454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fbe33f42-29a1-4b11-af01-b796570c7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dc:description/>
  <cp:lastModifiedBy>reviewer</cp:lastModifiedBy>
  <cp:revision>6</cp:revision>
  <cp:lastPrinted>2020-01-06T16:44:00Z</cp:lastPrinted>
  <dcterms:created xsi:type="dcterms:W3CDTF">2020-01-27T12:23:00Z</dcterms:created>
  <dcterms:modified xsi:type="dcterms:W3CDTF">2020-01-27T12:27:00Z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0x0101001EFBE9B0E392084A9295605B76881B7B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