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E7" w:rsidRDefault="004E58E7" w:rsidP="004E58E7">
      <w:pPr>
        <w:spacing w:before="240" w:after="0" w:line="240" w:lineRule="auto"/>
        <w:jc w:val="center"/>
        <w:rPr>
          <w:rFonts w:eastAsia="Times New Roman" w:cs="Arial"/>
          <w:b/>
          <w:lang w:eastAsia="fr-FR"/>
        </w:rPr>
      </w:pPr>
      <w:r w:rsidRPr="004075F7">
        <w:rPr>
          <w:rFonts w:eastAsia="Times New Roman" w:cs="Arial"/>
          <w:b/>
          <w:lang w:eastAsia="fr-FR"/>
        </w:rPr>
        <w:t>Formation polyphasée des</w:t>
      </w:r>
      <w:bookmarkStart w:id="0" w:name="_GoBack"/>
      <w:bookmarkEnd w:id="0"/>
      <w:r w:rsidRPr="004075F7">
        <w:rPr>
          <w:rFonts w:eastAsia="Times New Roman" w:cs="Arial"/>
          <w:b/>
          <w:lang w:eastAsia="fr-FR"/>
        </w:rPr>
        <w:t xml:space="preserve"> réservoirs karstiques aquitains : du paléokarst au fonctionnement actuel des aquifères karstiques.</w:t>
      </w:r>
    </w:p>
    <w:p w:rsidR="004075F7" w:rsidRPr="004075F7" w:rsidRDefault="004075F7" w:rsidP="004075F7">
      <w:pPr>
        <w:spacing w:after="0" w:line="240" w:lineRule="auto"/>
        <w:jc w:val="center"/>
        <w:rPr>
          <w:rFonts w:eastAsia="Times New Roman" w:cs="Arial"/>
          <w:b/>
          <w:lang w:eastAsia="fr-FR"/>
        </w:rPr>
      </w:pPr>
    </w:p>
    <w:p w:rsidR="004075F7" w:rsidRPr="000B6D2D" w:rsidRDefault="004075F7" w:rsidP="004075F7">
      <w:pPr>
        <w:pStyle w:val="Textebrut"/>
        <w:jc w:val="center"/>
        <w:rPr>
          <w:rFonts w:asciiTheme="minorHAnsi" w:hAnsiTheme="minorHAnsi" w:cs="Times New Roman"/>
          <w:vertAlign w:val="superscript"/>
        </w:rPr>
      </w:pPr>
      <w:r w:rsidRPr="000B6D2D">
        <w:rPr>
          <w:rFonts w:asciiTheme="minorHAnsi" w:hAnsiTheme="minorHAnsi" w:cs="Times New Roman"/>
        </w:rPr>
        <w:t xml:space="preserve">Eglantine </w:t>
      </w:r>
      <w:r w:rsidRPr="000B6D2D">
        <w:rPr>
          <w:rFonts w:asciiTheme="minorHAnsi" w:hAnsiTheme="minorHAnsi" w:cs="Times New Roman"/>
          <w:caps/>
        </w:rPr>
        <w:t xml:space="preserve">Husson </w:t>
      </w:r>
      <w:r w:rsidRPr="000B6D2D">
        <w:rPr>
          <w:rFonts w:asciiTheme="minorHAnsi" w:hAnsiTheme="minorHAnsi" w:cs="Times New Roman"/>
          <w:vertAlign w:val="superscript"/>
        </w:rPr>
        <w:t>(1)</w:t>
      </w:r>
      <w:r w:rsidRPr="000B6D2D">
        <w:rPr>
          <w:rFonts w:asciiTheme="minorHAnsi" w:hAnsiTheme="minorHAnsi" w:cs="Times New Roman"/>
        </w:rPr>
        <w:t xml:space="preserve">, Hubert </w:t>
      </w:r>
      <w:r w:rsidRPr="000B6D2D">
        <w:rPr>
          <w:rFonts w:asciiTheme="minorHAnsi" w:hAnsiTheme="minorHAnsi" w:cs="Times New Roman"/>
          <w:caps/>
        </w:rPr>
        <w:t xml:space="preserve">Camus </w:t>
      </w:r>
      <w:r w:rsidRPr="000B6D2D">
        <w:rPr>
          <w:rFonts w:asciiTheme="minorHAnsi" w:hAnsiTheme="minorHAnsi" w:cs="Times New Roman"/>
          <w:vertAlign w:val="superscript"/>
        </w:rPr>
        <w:t>(2)</w:t>
      </w:r>
      <w:r w:rsidRPr="000B6D2D">
        <w:rPr>
          <w:rFonts w:asciiTheme="minorHAnsi" w:hAnsiTheme="minorHAnsi" w:cs="Times New Roman"/>
        </w:rPr>
        <w:t>, Catherine LEROUGE</w:t>
      </w:r>
      <w:r w:rsidRPr="000B6D2D">
        <w:rPr>
          <w:rFonts w:asciiTheme="minorHAnsi" w:hAnsiTheme="minorHAnsi" w:cs="Times New Roman"/>
          <w:caps/>
        </w:rPr>
        <w:t xml:space="preserve"> </w:t>
      </w:r>
      <w:r w:rsidRPr="000B6D2D">
        <w:rPr>
          <w:rFonts w:asciiTheme="minorHAnsi" w:hAnsiTheme="minorHAnsi" w:cs="Times New Roman"/>
          <w:vertAlign w:val="superscript"/>
        </w:rPr>
        <w:t>(1)</w:t>
      </w:r>
      <w:r w:rsidRPr="000B6D2D">
        <w:rPr>
          <w:rFonts w:asciiTheme="minorHAnsi" w:hAnsiTheme="minorHAnsi" w:cs="Times New Roman"/>
        </w:rPr>
        <w:t xml:space="preserve">, Olivier CABARET </w:t>
      </w:r>
      <w:r w:rsidRPr="000B6D2D">
        <w:rPr>
          <w:rFonts w:asciiTheme="minorHAnsi" w:hAnsiTheme="minorHAnsi" w:cs="Times New Roman"/>
          <w:vertAlign w:val="superscript"/>
        </w:rPr>
        <w:t>(3)</w:t>
      </w:r>
      <w:r w:rsidRPr="000B6D2D">
        <w:rPr>
          <w:rFonts w:asciiTheme="minorHAnsi" w:hAnsiTheme="minorHAnsi" w:cs="Times New Roman"/>
        </w:rPr>
        <w:t xml:space="preserve">, Eric LASSEUR </w:t>
      </w:r>
      <w:r w:rsidRPr="000B6D2D">
        <w:rPr>
          <w:rFonts w:asciiTheme="minorHAnsi" w:hAnsiTheme="minorHAnsi" w:cs="Times New Roman"/>
          <w:vertAlign w:val="superscript"/>
        </w:rPr>
        <w:t>(1)</w:t>
      </w:r>
      <w:r w:rsidRPr="000B6D2D">
        <w:rPr>
          <w:rFonts w:asciiTheme="minorHAnsi" w:hAnsiTheme="minorHAnsi" w:cs="Times New Roman"/>
        </w:rPr>
        <w:t>, Marc SLATEL</w:t>
      </w:r>
      <w:r w:rsidRPr="000B6D2D">
        <w:rPr>
          <w:rFonts w:asciiTheme="minorHAnsi" w:hAnsiTheme="minorHAnsi" w:cs="Times New Roman"/>
          <w:vertAlign w:val="superscript"/>
        </w:rPr>
        <w:t>(3)</w:t>
      </w:r>
    </w:p>
    <w:p w:rsidR="004075F7" w:rsidRDefault="004075F7" w:rsidP="004075F7">
      <w:pPr>
        <w:pStyle w:val="Textebrut"/>
        <w:jc w:val="both"/>
        <w:rPr>
          <w:rFonts w:asciiTheme="minorHAnsi" w:hAnsiTheme="minorHAnsi" w:cs="Times New Roman"/>
        </w:rPr>
      </w:pPr>
      <w:r>
        <w:rPr>
          <w:rFonts w:asciiTheme="minorHAnsi" w:hAnsiTheme="minorHAnsi" w:cs="Times New Roman"/>
        </w:rPr>
        <w:t xml:space="preserve">(1) BRGM – 3, avenue Claude-Guillemin - BP 36009, 45060 Orléans Cedex 2, France </w:t>
      </w:r>
    </w:p>
    <w:p w:rsidR="004075F7" w:rsidRDefault="004075F7" w:rsidP="004075F7">
      <w:pPr>
        <w:pStyle w:val="Textebrut"/>
        <w:jc w:val="both"/>
        <w:rPr>
          <w:rFonts w:asciiTheme="minorHAnsi" w:hAnsiTheme="minorHAnsi" w:cs="Times New Roman"/>
        </w:rPr>
      </w:pPr>
      <w:r>
        <w:rPr>
          <w:rFonts w:asciiTheme="minorHAnsi" w:hAnsiTheme="minorHAnsi" w:cs="Times New Roman"/>
        </w:rPr>
        <w:t xml:space="preserve">(2) CENOTE, </w:t>
      </w:r>
      <w:r w:rsidR="006F4450">
        <w:rPr>
          <w:rFonts w:asciiTheme="minorHAnsi" w:hAnsiTheme="minorHAnsi" w:cs="Times New Roman"/>
        </w:rPr>
        <w:t xml:space="preserve">1 chemin de </w:t>
      </w:r>
      <w:proofErr w:type="spellStart"/>
      <w:r w:rsidR="006F4450">
        <w:rPr>
          <w:rFonts w:asciiTheme="minorHAnsi" w:hAnsiTheme="minorHAnsi" w:cs="Times New Roman"/>
        </w:rPr>
        <w:t>Valdeg</w:t>
      </w:r>
      <w:r>
        <w:rPr>
          <w:rFonts w:asciiTheme="minorHAnsi" w:hAnsiTheme="minorHAnsi" w:cs="Times New Roman"/>
        </w:rPr>
        <w:t>our</w:t>
      </w:r>
      <w:proofErr w:type="spellEnd"/>
      <w:r>
        <w:rPr>
          <w:rFonts w:asciiTheme="minorHAnsi" w:hAnsiTheme="minorHAnsi" w:cs="Times New Roman"/>
        </w:rPr>
        <w:t>, 30000, Nîmes, France.</w:t>
      </w:r>
    </w:p>
    <w:p w:rsidR="004075F7" w:rsidRDefault="004075F7" w:rsidP="004075F7">
      <w:pPr>
        <w:pStyle w:val="Textebrut"/>
        <w:jc w:val="both"/>
        <w:rPr>
          <w:rFonts w:asciiTheme="minorHAnsi" w:hAnsiTheme="minorHAnsi" w:cs="Times New Roman"/>
        </w:rPr>
      </w:pPr>
      <w:r w:rsidRPr="004075F7">
        <w:rPr>
          <w:rFonts w:asciiTheme="minorHAnsi" w:hAnsiTheme="minorHAnsi" w:cs="Times New Roman"/>
        </w:rPr>
        <w:t xml:space="preserve">(3) </w:t>
      </w:r>
      <w:r>
        <w:rPr>
          <w:rFonts w:asciiTheme="minorHAnsi" w:hAnsiTheme="minorHAnsi" w:cs="Times New Roman"/>
        </w:rPr>
        <w:t>BRGM –</w:t>
      </w:r>
      <w:r>
        <w:t xml:space="preserve"> </w:t>
      </w:r>
      <w:r w:rsidRPr="004075F7">
        <w:rPr>
          <w:rFonts w:asciiTheme="minorHAnsi" w:hAnsiTheme="minorHAnsi" w:cs="Times New Roman"/>
        </w:rPr>
        <w:t xml:space="preserve">Parc Technologique </w:t>
      </w:r>
      <w:proofErr w:type="spellStart"/>
      <w:r w:rsidRPr="004075F7">
        <w:rPr>
          <w:rFonts w:asciiTheme="minorHAnsi" w:hAnsiTheme="minorHAnsi" w:cs="Times New Roman"/>
        </w:rPr>
        <w:t>Europarc</w:t>
      </w:r>
      <w:proofErr w:type="spellEnd"/>
      <w:r>
        <w:rPr>
          <w:rFonts w:asciiTheme="minorHAnsi" w:hAnsiTheme="minorHAnsi" w:cs="Times New Roman"/>
        </w:rPr>
        <w:t xml:space="preserve"> - 24, Avenue Léonard de Vinci, </w:t>
      </w:r>
      <w:r w:rsidRPr="004075F7">
        <w:rPr>
          <w:rFonts w:asciiTheme="minorHAnsi" w:hAnsiTheme="minorHAnsi" w:cs="Times New Roman"/>
        </w:rPr>
        <w:t>33600 PESSAC</w:t>
      </w:r>
      <w:r>
        <w:rPr>
          <w:rFonts w:asciiTheme="minorHAnsi" w:hAnsiTheme="minorHAnsi" w:cs="Times New Roman"/>
        </w:rPr>
        <w:t xml:space="preserve">, France </w:t>
      </w:r>
    </w:p>
    <w:p w:rsidR="004075F7" w:rsidRDefault="004075F7" w:rsidP="004075F7">
      <w:pPr>
        <w:pStyle w:val="Textebrut"/>
        <w:jc w:val="both"/>
        <w:rPr>
          <w:rFonts w:asciiTheme="minorHAnsi" w:hAnsiTheme="minorHAnsi" w:cs="Times New Roman"/>
        </w:rPr>
      </w:pPr>
      <w:r>
        <w:rPr>
          <w:rFonts w:asciiTheme="minorHAnsi" w:hAnsiTheme="minorHAnsi" w:cs="Times New Roman"/>
        </w:rPr>
        <w:t>(@) e.husson@brgm.fr</w:t>
      </w:r>
    </w:p>
    <w:p w:rsidR="004E58E7" w:rsidRPr="004075F7" w:rsidRDefault="004E58E7" w:rsidP="004E58E7">
      <w:pPr>
        <w:spacing w:before="240" w:after="0" w:line="240" w:lineRule="auto"/>
        <w:jc w:val="both"/>
        <w:rPr>
          <w:rFonts w:eastAsia="Times New Roman" w:cs="Arial"/>
          <w:lang w:eastAsia="fr-FR"/>
        </w:rPr>
      </w:pPr>
      <w:r w:rsidRPr="004075F7">
        <w:rPr>
          <w:rFonts w:eastAsia="Times New Roman" w:cs="Arial"/>
          <w:lang w:eastAsia="fr-FR"/>
        </w:rPr>
        <w:t>La bordure Nord-est du bassin sédimentaire aquitain est constituée de terrains jurassiques et crétacés supérieurs témoignant des deux vastes transgressions marines qui se sont produites au Mésozoïque. Les formations géologiques à dominante calcaire qui en résultent sont le siège de systèmes karstiques à la fois à l’affleurement en bordure du Massif Central et sous couverture au centre du bassin. La gestion des ressources en eau provenant de ces formations se heurte à des difficultés liées à la nature plus ou moins karstique de ces réservoirs carbonatés.</w:t>
      </w:r>
    </w:p>
    <w:p w:rsidR="004E58E7" w:rsidRPr="004075F7" w:rsidRDefault="004E58E7" w:rsidP="004E58E7">
      <w:pPr>
        <w:spacing w:before="240" w:after="0" w:line="240" w:lineRule="auto"/>
        <w:jc w:val="both"/>
        <w:rPr>
          <w:rFonts w:eastAsia="Times New Roman" w:cs="Arial"/>
          <w:lang w:eastAsia="fr-FR"/>
        </w:rPr>
      </w:pPr>
      <w:r w:rsidRPr="004075F7">
        <w:rPr>
          <w:rFonts w:eastAsia="Times New Roman" w:cs="Arial"/>
          <w:lang w:eastAsia="fr-FR"/>
        </w:rPr>
        <w:t xml:space="preserve">Sur le terrain, on observe plusieurs types de karst créés au cours de plusieurs périodes de karstification : </w:t>
      </w:r>
    </w:p>
    <w:p w:rsidR="004E58E7" w:rsidRPr="004075F7" w:rsidRDefault="004E58E7" w:rsidP="004E58E7">
      <w:pPr>
        <w:pStyle w:val="Paragraphedeliste"/>
        <w:numPr>
          <w:ilvl w:val="0"/>
          <w:numId w:val="2"/>
        </w:numPr>
        <w:spacing w:before="240" w:after="0" w:line="240" w:lineRule="auto"/>
        <w:jc w:val="both"/>
        <w:rPr>
          <w:rFonts w:eastAsia="Times New Roman" w:cs="Arial"/>
          <w:lang w:eastAsia="fr-FR"/>
        </w:rPr>
      </w:pPr>
      <w:r w:rsidRPr="004075F7">
        <w:rPr>
          <w:rFonts w:eastAsia="Times New Roman" w:cs="Arial"/>
          <w:lang w:eastAsia="fr-FR"/>
        </w:rPr>
        <w:t xml:space="preserve">Trois phases majeures de karstification épigène ont engendré la mise en place de karst gravifique et crypto-karstique en lien avec les variations du niveau de base, au cours du Crétacé inférieur, de l’Eocène et du Néogène ; </w:t>
      </w:r>
    </w:p>
    <w:p w:rsidR="004E58E7" w:rsidRPr="004075F7" w:rsidRDefault="004E58E7" w:rsidP="004E58E7">
      <w:pPr>
        <w:pStyle w:val="Paragraphedeliste"/>
        <w:numPr>
          <w:ilvl w:val="0"/>
          <w:numId w:val="2"/>
        </w:numPr>
        <w:spacing w:before="240" w:after="0" w:line="240" w:lineRule="auto"/>
        <w:jc w:val="both"/>
        <w:rPr>
          <w:rFonts w:eastAsia="Times New Roman" w:cs="Arial"/>
          <w:lang w:eastAsia="fr-FR"/>
        </w:rPr>
      </w:pPr>
      <w:r w:rsidRPr="004075F7">
        <w:rPr>
          <w:rFonts w:eastAsia="Times New Roman" w:cs="Arial"/>
          <w:lang w:eastAsia="fr-FR"/>
        </w:rPr>
        <w:t xml:space="preserve">L’altération par fantômisation </w:t>
      </w:r>
      <w:r w:rsidR="002C17C0">
        <w:rPr>
          <w:rFonts w:eastAsia="Times New Roman" w:cs="Arial"/>
          <w:lang w:eastAsia="fr-FR"/>
        </w:rPr>
        <w:t>semble avoir pré-structuré</w:t>
      </w:r>
      <w:r w:rsidRPr="004075F7">
        <w:rPr>
          <w:rFonts w:eastAsia="Times New Roman" w:cs="Arial"/>
          <w:lang w:eastAsia="fr-FR"/>
        </w:rPr>
        <w:t xml:space="preserve"> de manière importante les</w:t>
      </w:r>
      <w:r w:rsidR="002C17C0">
        <w:rPr>
          <w:rFonts w:eastAsia="Times New Roman" w:cs="Arial"/>
          <w:lang w:eastAsia="fr-FR"/>
        </w:rPr>
        <w:t xml:space="preserve"> systèmes karstiques depuis le C</w:t>
      </w:r>
      <w:r w:rsidRPr="004075F7">
        <w:rPr>
          <w:rFonts w:eastAsia="Times New Roman" w:cs="Arial"/>
          <w:lang w:eastAsia="fr-FR"/>
        </w:rPr>
        <w:t xml:space="preserve">rétacé jusqu’à l’actuel ; </w:t>
      </w:r>
    </w:p>
    <w:p w:rsidR="004E58E7" w:rsidRPr="004075F7" w:rsidRDefault="004E58E7" w:rsidP="004E58E7">
      <w:pPr>
        <w:pStyle w:val="Paragraphedeliste"/>
        <w:numPr>
          <w:ilvl w:val="0"/>
          <w:numId w:val="2"/>
        </w:numPr>
        <w:spacing w:before="240" w:after="0" w:line="240" w:lineRule="auto"/>
        <w:jc w:val="both"/>
        <w:rPr>
          <w:rFonts w:eastAsia="Times New Roman" w:cs="Arial"/>
          <w:lang w:eastAsia="fr-FR"/>
        </w:rPr>
      </w:pPr>
      <w:r w:rsidRPr="004075F7">
        <w:rPr>
          <w:rFonts w:eastAsia="Times New Roman" w:cs="Arial"/>
          <w:lang w:eastAsia="fr-FR"/>
        </w:rPr>
        <w:t>Des indices de karstification hypogène montrent un paléo-fonctionnement hydrogéologique à l’échelle du bassin, caractérisée par la circulation de fluides, parfois très chauds, depuis le centre du bassin vers les bordures.</w:t>
      </w:r>
    </w:p>
    <w:p w:rsidR="004E58E7" w:rsidRPr="004075F7" w:rsidRDefault="004E58E7" w:rsidP="004E58E7">
      <w:pPr>
        <w:spacing w:before="240" w:after="0" w:line="240" w:lineRule="auto"/>
        <w:jc w:val="both"/>
        <w:rPr>
          <w:rFonts w:eastAsia="Times New Roman" w:cs="Arial"/>
          <w:lang w:eastAsia="fr-FR"/>
        </w:rPr>
      </w:pPr>
      <w:r w:rsidRPr="004075F7">
        <w:rPr>
          <w:rFonts w:eastAsia="Times New Roman" w:cs="Arial"/>
          <w:lang w:eastAsia="fr-FR"/>
        </w:rPr>
        <w:t>Au sein des formations du Jurassique, les formes de karstification héritées du Crétacé inférieur sont difficiles à identifier. Ce manque d’indices est dû à la longue évolution en domaine continental tout au long du Tertiaire qui en a gommé les traces. En effet, le karst actif affectant les formations du Jurassique, est aujourd’hui très structuré par l’histoire cénozoïque du décapage progressif de la couverture sédimentaire crétacée et tertiaire, dont le retrait a permis la formation de fenêtres hydrogéologiques qui ont évolué avec les variations du niveau de base.</w:t>
      </w:r>
    </w:p>
    <w:p w:rsidR="004E58E7" w:rsidRPr="000B6D2D" w:rsidRDefault="004E58E7" w:rsidP="004E58E7">
      <w:pPr>
        <w:spacing w:before="240" w:after="0" w:line="240" w:lineRule="auto"/>
        <w:jc w:val="both"/>
        <w:rPr>
          <w:rFonts w:eastAsia="Times New Roman" w:cs="Arial"/>
          <w:lang w:eastAsia="fr-FR"/>
        </w:rPr>
      </w:pPr>
      <w:r w:rsidRPr="004075F7">
        <w:rPr>
          <w:rFonts w:eastAsia="Times New Roman" w:cs="Arial"/>
          <w:lang w:eastAsia="fr-FR"/>
        </w:rPr>
        <w:t xml:space="preserve">Du fait de la présence de </w:t>
      </w:r>
      <w:r w:rsidRPr="000B6D2D">
        <w:rPr>
          <w:rFonts w:eastAsia="Times New Roman" w:cs="Arial"/>
          <w:lang w:eastAsia="fr-FR"/>
        </w:rPr>
        <w:t xml:space="preserve">nombreuses épontes au sein de la pile sédimentaire majoritairement </w:t>
      </w:r>
      <w:proofErr w:type="spellStart"/>
      <w:r w:rsidRPr="000B6D2D">
        <w:rPr>
          <w:rFonts w:eastAsia="Times New Roman" w:cs="Arial"/>
          <w:lang w:eastAsia="fr-FR"/>
        </w:rPr>
        <w:t>gréso</w:t>
      </w:r>
      <w:proofErr w:type="spellEnd"/>
      <w:r w:rsidRPr="000B6D2D">
        <w:rPr>
          <w:rFonts w:eastAsia="Times New Roman" w:cs="Arial"/>
          <w:lang w:eastAsia="fr-FR"/>
        </w:rPr>
        <w:t xml:space="preserve">-carbonatée, les terrains crétacés ont à la fois le double rôle de couverture vis-à-vis du Jurassique sous-jacent et d’aquifères multicouches à caractère karstique. Bien qu’ayant subi une longue histoire karstique au cours du Cénozoïque, cet aspect « mille-feuille » a pour conséquence de segmenter le système en plusieurs réservoirs superposés et peu épais, limitant le développement vertical du karst. </w:t>
      </w:r>
    </w:p>
    <w:p w:rsidR="004075F7" w:rsidRPr="004075F7" w:rsidRDefault="004E58E7">
      <w:pPr>
        <w:spacing w:before="240" w:after="0" w:line="240" w:lineRule="auto"/>
        <w:jc w:val="both"/>
        <w:rPr>
          <w:rFonts w:eastAsia="Times New Roman" w:cs="Arial"/>
          <w:lang w:eastAsia="fr-FR"/>
        </w:rPr>
      </w:pPr>
      <w:r w:rsidRPr="000B6D2D">
        <w:rPr>
          <w:rFonts w:eastAsia="Times New Roman" w:cs="Arial"/>
          <w:lang w:eastAsia="fr-FR"/>
        </w:rPr>
        <w:t>Malgré cette compartimentation de l’ensemble des grands systèmes aquifères crétacés et jurassiques, des conne</w:t>
      </w:r>
      <w:r w:rsidR="007B5B6B" w:rsidRPr="000B6D2D">
        <w:rPr>
          <w:rFonts w:eastAsia="Times New Roman" w:cs="Arial"/>
          <w:lang w:eastAsia="fr-FR"/>
        </w:rPr>
        <w:t>x</w:t>
      </w:r>
      <w:r w:rsidRPr="000B6D2D">
        <w:rPr>
          <w:rFonts w:eastAsia="Times New Roman" w:cs="Arial"/>
          <w:lang w:eastAsia="fr-FR"/>
        </w:rPr>
        <w:t xml:space="preserve">ions entre réservoirs intra-crétacés ou entre réservoirs crétacés et jurassiques se font ponctuellement, permettant des circulations ascendantes ou descendantes selon la charge des aquifères captifs de la pile sédimentaire mésozoïque. De plus, des </w:t>
      </w:r>
      <w:r w:rsidR="007B5B6B" w:rsidRPr="000B6D2D">
        <w:rPr>
          <w:rFonts w:eastAsia="Times New Roman" w:cs="Arial"/>
          <w:lang w:eastAsia="fr-FR"/>
        </w:rPr>
        <w:t>structures</w:t>
      </w:r>
      <w:r w:rsidRPr="000B6D2D">
        <w:rPr>
          <w:rFonts w:eastAsia="Times New Roman" w:cs="Arial"/>
          <w:lang w:eastAsia="fr-FR"/>
        </w:rPr>
        <w:t xml:space="preserve"> </w:t>
      </w:r>
      <w:r w:rsidR="007B5B6B" w:rsidRPr="000B6D2D">
        <w:rPr>
          <w:rFonts w:eastAsia="Times New Roman" w:cs="Arial"/>
          <w:lang w:eastAsia="fr-FR"/>
        </w:rPr>
        <w:t>karstiques</w:t>
      </w:r>
      <w:r w:rsidRPr="000B6D2D">
        <w:rPr>
          <w:rFonts w:eastAsia="Times New Roman" w:cs="Arial"/>
          <w:lang w:eastAsia="fr-FR"/>
        </w:rPr>
        <w:t xml:space="preserve">, comme des </w:t>
      </w:r>
      <w:r w:rsidRPr="000B6D2D">
        <w:rPr>
          <w:rFonts w:eastAsia="Times New Roman" w:cs="Arial"/>
          <w:i/>
          <w:lang w:eastAsia="fr-FR"/>
        </w:rPr>
        <w:t>pipes</w:t>
      </w:r>
      <w:r w:rsidRPr="000B6D2D">
        <w:rPr>
          <w:rFonts w:eastAsia="Times New Roman" w:cs="Arial"/>
          <w:lang w:eastAsia="fr-FR"/>
        </w:rPr>
        <w:t xml:space="preserve"> de brèches, des puits atypiques, ou encore les témoins de </w:t>
      </w:r>
      <w:proofErr w:type="spellStart"/>
      <w:r w:rsidRPr="000B6D2D">
        <w:rPr>
          <w:rFonts w:eastAsia="Times New Roman" w:cs="Arial"/>
          <w:lang w:eastAsia="fr-FR"/>
        </w:rPr>
        <w:t>paléocirculations</w:t>
      </w:r>
      <w:proofErr w:type="spellEnd"/>
      <w:r w:rsidRPr="000B6D2D">
        <w:rPr>
          <w:rFonts w:eastAsia="Times New Roman" w:cs="Arial"/>
          <w:lang w:eastAsia="fr-FR"/>
        </w:rPr>
        <w:t xml:space="preserve"> de fluides chauds sont autant d’indices qui révèlent un paléo-fonctionnement hypogène de circulations souterraines. Encore aujourd’hui, le karst actuellement présent à grande profondeur, témoigne d’un fonctionnement assuré par les </w:t>
      </w:r>
      <w:proofErr w:type="spellStart"/>
      <w:r w:rsidRPr="000B6D2D">
        <w:rPr>
          <w:rFonts w:eastAsia="Times New Roman" w:cs="Arial"/>
          <w:lang w:eastAsia="fr-FR"/>
        </w:rPr>
        <w:t>drainances</w:t>
      </w:r>
      <w:proofErr w:type="spellEnd"/>
      <w:r w:rsidRPr="000B6D2D">
        <w:rPr>
          <w:rFonts w:eastAsia="Times New Roman" w:cs="Arial"/>
          <w:lang w:eastAsia="fr-FR"/>
        </w:rPr>
        <w:t xml:space="preserve"> naturelles</w:t>
      </w:r>
      <w:r w:rsidRPr="004075F7">
        <w:rPr>
          <w:rFonts w:eastAsia="Times New Roman" w:cs="Arial"/>
          <w:lang w:eastAsia="fr-FR"/>
        </w:rPr>
        <w:t xml:space="preserve"> et actuelles qui s’opèrent à l’échelle du bassin, lui permettant de rester actif.</w:t>
      </w:r>
    </w:p>
    <w:sectPr w:rsidR="004075F7" w:rsidRPr="004075F7" w:rsidSect="004A4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61D"/>
    <w:multiLevelType w:val="hybridMultilevel"/>
    <w:tmpl w:val="98300366"/>
    <w:lvl w:ilvl="0" w:tplc="8472742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65343"/>
    <w:multiLevelType w:val="hybridMultilevel"/>
    <w:tmpl w:val="9A68FB2E"/>
    <w:lvl w:ilvl="0" w:tplc="7DBAA84A">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7"/>
    <w:rsid w:val="000B6D2D"/>
    <w:rsid w:val="0026636F"/>
    <w:rsid w:val="002C17C0"/>
    <w:rsid w:val="004075F7"/>
    <w:rsid w:val="004A4CF0"/>
    <w:rsid w:val="004E58E7"/>
    <w:rsid w:val="006F1ECF"/>
    <w:rsid w:val="006F4450"/>
    <w:rsid w:val="007B5B6B"/>
    <w:rsid w:val="0089179D"/>
    <w:rsid w:val="00B13012"/>
    <w:rsid w:val="00C37FB0"/>
    <w:rsid w:val="00E13B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8E7"/>
    <w:pPr>
      <w:ind w:left="720"/>
      <w:contextualSpacing/>
    </w:pPr>
  </w:style>
  <w:style w:type="paragraph" w:styleId="Textebrut">
    <w:name w:val="Plain Text"/>
    <w:basedOn w:val="Normal"/>
    <w:link w:val="TextebrutCar"/>
    <w:unhideWhenUsed/>
    <w:rsid w:val="004075F7"/>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075F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7B5B6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B5B6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8E7"/>
    <w:pPr>
      <w:ind w:left="720"/>
      <w:contextualSpacing/>
    </w:pPr>
  </w:style>
  <w:style w:type="paragraph" w:styleId="Textebrut">
    <w:name w:val="Plain Text"/>
    <w:basedOn w:val="Normal"/>
    <w:link w:val="TextebrutCar"/>
    <w:unhideWhenUsed/>
    <w:rsid w:val="004075F7"/>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075F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7B5B6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B5B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5497">
      <w:bodyDiv w:val="1"/>
      <w:marLeft w:val="0"/>
      <w:marRight w:val="0"/>
      <w:marTop w:val="0"/>
      <w:marBottom w:val="0"/>
      <w:divBdr>
        <w:top w:val="none" w:sz="0" w:space="0" w:color="auto"/>
        <w:left w:val="none" w:sz="0" w:space="0" w:color="auto"/>
        <w:bottom w:val="none" w:sz="0" w:space="0" w:color="auto"/>
        <w:right w:val="none" w:sz="0" w:space="0" w:color="auto"/>
      </w:divBdr>
    </w:div>
    <w:div w:id="1475609824">
      <w:bodyDiv w:val="1"/>
      <w:marLeft w:val="0"/>
      <w:marRight w:val="0"/>
      <w:marTop w:val="0"/>
      <w:marBottom w:val="0"/>
      <w:divBdr>
        <w:top w:val="none" w:sz="0" w:space="0" w:color="auto"/>
        <w:left w:val="none" w:sz="0" w:space="0" w:color="auto"/>
        <w:bottom w:val="none" w:sz="0" w:space="0" w:color="auto"/>
        <w:right w:val="none" w:sz="0" w:space="0" w:color="auto"/>
      </w:divBdr>
    </w:div>
    <w:div w:id="1817139504">
      <w:bodyDiv w:val="1"/>
      <w:marLeft w:val="0"/>
      <w:marRight w:val="0"/>
      <w:marTop w:val="0"/>
      <w:marBottom w:val="0"/>
      <w:divBdr>
        <w:top w:val="none" w:sz="0" w:space="0" w:color="auto"/>
        <w:left w:val="none" w:sz="0" w:space="0" w:color="auto"/>
        <w:bottom w:val="none" w:sz="0" w:space="0" w:color="auto"/>
        <w:right w:val="none" w:sz="0" w:space="0" w:color="auto"/>
      </w:divBdr>
    </w:div>
    <w:div w:id="20644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Husson Eglantine</dc:creator>
  <cp:lastModifiedBy>Husson Eglantine</cp:lastModifiedBy>
  <cp:revision>2</cp:revision>
  <dcterms:created xsi:type="dcterms:W3CDTF">2017-08-09T12:58:00Z</dcterms:created>
  <dcterms:modified xsi:type="dcterms:W3CDTF">2017-08-09T12:58:00Z</dcterms:modified>
</cp:coreProperties>
</file>